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EA" w:rsidRPr="00241AC6" w:rsidRDefault="00DA72EA" w:rsidP="00241AC6">
      <w:pPr>
        <w:shd w:val="clear" w:color="auto" w:fill="FFFFFF" w:themeFill="background1"/>
        <w:ind w:left="1021"/>
        <w:jc w:val="center"/>
        <w:rPr>
          <w:rFonts w:ascii="Tahoma" w:hAnsi="Tahoma" w:cs="Tahoma"/>
          <w:b/>
          <w:i/>
          <w:sz w:val="23"/>
          <w:szCs w:val="23"/>
        </w:rPr>
      </w:pPr>
      <w:bookmarkStart w:id="0" w:name="_Hlk62941504"/>
    </w:p>
    <w:p w:rsidR="0009319D" w:rsidRPr="00241AC6" w:rsidRDefault="0009319D" w:rsidP="00241AC6">
      <w:pPr>
        <w:shd w:val="clear" w:color="auto" w:fill="FFFFFF" w:themeFill="background1"/>
        <w:ind w:left="1021"/>
        <w:jc w:val="center"/>
        <w:rPr>
          <w:rFonts w:ascii="Tahoma" w:hAnsi="Tahoma" w:cs="Tahoma"/>
          <w:b/>
          <w:i/>
          <w:sz w:val="23"/>
          <w:szCs w:val="23"/>
        </w:rPr>
      </w:pPr>
      <w:r w:rsidRPr="00241AC6">
        <w:rPr>
          <w:rFonts w:ascii="Tahoma" w:hAnsi="Tahoma" w:cs="Tahoma"/>
          <w:b/>
          <w:i/>
          <w:sz w:val="23"/>
          <w:szCs w:val="23"/>
        </w:rPr>
        <w:t xml:space="preserve">ORDEN DEL DÍA DE LA SESIÓN ORDINARIA CONVOCADA PARA EL </w:t>
      </w:r>
      <w:r w:rsidR="00D5349F" w:rsidRPr="00241AC6">
        <w:rPr>
          <w:rFonts w:ascii="Tahoma" w:hAnsi="Tahoma" w:cs="Tahoma"/>
          <w:b/>
          <w:i/>
          <w:sz w:val="23"/>
          <w:szCs w:val="23"/>
        </w:rPr>
        <w:t>MARTES 31</w:t>
      </w:r>
      <w:r w:rsidR="000F7724" w:rsidRPr="00241AC6">
        <w:rPr>
          <w:rFonts w:ascii="Tahoma" w:hAnsi="Tahoma" w:cs="Tahoma"/>
          <w:b/>
          <w:i/>
          <w:sz w:val="23"/>
          <w:szCs w:val="23"/>
        </w:rPr>
        <w:t xml:space="preserve"> </w:t>
      </w:r>
      <w:r w:rsidR="00B80060" w:rsidRPr="00241AC6">
        <w:rPr>
          <w:rFonts w:ascii="Tahoma" w:hAnsi="Tahoma" w:cs="Tahoma"/>
          <w:b/>
          <w:i/>
          <w:sz w:val="23"/>
          <w:szCs w:val="23"/>
        </w:rPr>
        <w:t>DE MAYO DEL AÑO 2022</w:t>
      </w:r>
      <w:r w:rsidRPr="00241AC6">
        <w:rPr>
          <w:rFonts w:ascii="Tahoma" w:hAnsi="Tahoma" w:cs="Tahoma"/>
          <w:b/>
          <w:i/>
          <w:sz w:val="23"/>
          <w:szCs w:val="23"/>
        </w:rPr>
        <w:t>.</w:t>
      </w:r>
    </w:p>
    <w:p w:rsidR="0009319D" w:rsidRPr="00241AC6" w:rsidRDefault="00F718EF" w:rsidP="00241AC6">
      <w:pPr>
        <w:shd w:val="clear" w:color="auto" w:fill="FFFFFF" w:themeFill="background1"/>
        <w:ind w:left="1021"/>
        <w:jc w:val="center"/>
        <w:rPr>
          <w:rFonts w:ascii="Tahoma" w:hAnsi="Tahoma" w:cs="Tahoma"/>
          <w:b/>
          <w:i/>
          <w:sz w:val="23"/>
          <w:szCs w:val="23"/>
        </w:rPr>
      </w:pPr>
      <w:r w:rsidRPr="00241AC6">
        <w:rPr>
          <w:rFonts w:ascii="Tahoma" w:hAnsi="Tahoma" w:cs="Tahoma"/>
          <w:b/>
          <w:i/>
          <w:sz w:val="23"/>
          <w:szCs w:val="23"/>
        </w:rPr>
        <w:t>11:</w:t>
      </w:r>
      <w:r w:rsidR="000F7724" w:rsidRPr="00241AC6">
        <w:rPr>
          <w:rFonts w:ascii="Tahoma" w:hAnsi="Tahoma" w:cs="Tahoma"/>
          <w:b/>
          <w:i/>
          <w:sz w:val="23"/>
          <w:szCs w:val="23"/>
        </w:rPr>
        <w:t>0</w:t>
      </w:r>
      <w:r w:rsidR="0001088D" w:rsidRPr="00241AC6">
        <w:rPr>
          <w:rFonts w:ascii="Tahoma" w:hAnsi="Tahoma" w:cs="Tahoma"/>
          <w:b/>
          <w:i/>
          <w:sz w:val="23"/>
          <w:szCs w:val="23"/>
        </w:rPr>
        <w:t xml:space="preserve">0 </w:t>
      </w:r>
      <w:r w:rsidR="0009319D" w:rsidRPr="00241AC6">
        <w:rPr>
          <w:rFonts w:ascii="Tahoma" w:hAnsi="Tahoma" w:cs="Tahoma"/>
          <w:b/>
          <w:i/>
          <w:sz w:val="23"/>
          <w:szCs w:val="23"/>
        </w:rPr>
        <w:t>HORAS.</w:t>
      </w:r>
    </w:p>
    <w:bookmarkEnd w:id="0"/>
    <w:p w:rsidR="000F7724" w:rsidRPr="00241AC6" w:rsidRDefault="000F7724"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bookmarkStart w:id="1" w:name="_GoBack"/>
      <w:bookmarkEnd w:id="1"/>
      <w:r w:rsidRPr="00241AC6">
        <w:rPr>
          <w:rFonts w:ascii="Tahoma" w:hAnsi="Tahoma"/>
          <w:b/>
          <w:i/>
          <w:sz w:val="23"/>
          <w:szCs w:val="23"/>
        </w:rPr>
        <w:t xml:space="preserve">I.- </w:t>
      </w:r>
      <w:r w:rsidRPr="00241AC6">
        <w:rPr>
          <w:rFonts w:ascii="Tahoma" w:hAnsi="Tahoma"/>
          <w:i/>
          <w:sz w:val="23"/>
          <w:szCs w:val="23"/>
        </w:rPr>
        <w:t>LECTURA DEL ORDEN DEL DÍA.</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pStyle w:val="Textoindependiente2"/>
        <w:shd w:val="clear" w:color="auto" w:fill="FFFFFF" w:themeFill="background1"/>
        <w:spacing w:after="0" w:line="360" w:lineRule="auto"/>
        <w:jc w:val="both"/>
        <w:rPr>
          <w:rStyle w:val="Fuentedepe1e1e1rrafopredeter"/>
          <w:rFonts w:ascii="Tahoma" w:hAnsi="Tahoma"/>
          <w:b/>
          <w:i/>
          <w:sz w:val="23"/>
          <w:szCs w:val="23"/>
        </w:rPr>
      </w:pPr>
      <w:r w:rsidRPr="00241AC6">
        <w:rPr>
          <w:rFonts w:ascii="Tahoma" w:hAnsi="Tahoma"/>
          <w:b/>
          <w:i/>
          <w:sz w:val="23"/>
          <w:szCs w:val="23"/>
        </w:rPr>
        <w:t>II.-</w:t>
      </w:r>
      <w:r w:rsidRPr="00241AC6">
        <w:rPr>
          <w:rFonts w:ascii="Tahoma" w:hAnsi="Tahoma"/>
          <w:i/>
          <w:sz w:val="23"/>
          <w:szCs w:val="23"/>
        </w:rPr>
        <w:t xml:space="preserve"> </w:t>
      </w:r>
      <w:r w:rsidRPr="00241AC6">
        <w:rPr>
          <w:rStyle w:val="Fuentedepe1e1e1rrafopredeter"/>
          <w:rFonts w:ascii="Tahoma" w:hAnsi="Tahoma"/>
          <w:i/>
          <w:sz w:val="23"/>
          <w:szCs w:val="23"/>
        </w:rPr>
        <w:t>DISCUSIÓN Y VOTACIÓN DE LA SÍNTESIS DEL ACTA DE LA SESIÓN ORDINARIA DE FECHA 25 DE MAYO DEL AÑO 2022.</w:t>
      </w:r>
    </w:p>
    <w:p w:rsidR="00241AC6" w:rsidRPr="00241AC6" w:rsidRDefault="00241AC6" w:rsidP="00241AC6">
      <w:pPr>
        <w:pStyle w:val="Textoindependiente"/>
        <w:shd w:val="clear" w:color="auto" w:fill="FFFFFF" w:themeFill="background1"/>
        <w:spacing w:line="360" w:lineRule="auto"/>
        <w:rPr>
          <w:rFonts w:ascii="Tahoma" w:hAnsi="Tahoma"/>
          <w:i/>
          <w:sz w:val="23"/>
          <w:szCs w:val="23"/>
        </w:rPr>
      </w:pPr>
    </w:p>
    <w:p w:rsidR="00241AC6" w:rsidRPr="00241AC6" w:rsidRDefault="00241AC6" w:rsidP="00241AC6">
      <w:pPr>
        <w:pStyle w:val="Textoindependiente2"/>
        <w:shd w:val="clear" w:color="auto" w:fill="FFFFFF" w:themeFill="background1"/>
        <w:spacing w:after="0"/>
        <w:jc w:val="both"/>
        <w:rPr>
          <w:rFonts w:ascii="Tahoma" w:hAnsi="Tahoma" w:cs="Tahoma"/>
          <w:b/>
          <w:i/>
          <w:iCs/>
          <w:sz w:val="23"/>
          <w:szCs w:val="23"/>
        </w:rPr>
      </w:pPr>
      <w:r w:rsidRPr="00241AC6">
        <w:rPr>
          <w:rFonts w:ascii="Tahoma" w:hAnsi="Tahoma"/>
          <w:b/>
          <w:i/>
          <w:sz w:val="23"/>
          <w:szCs w:val="23"/>
        </w:rPr>
        <w:t xml:space="preserve">III.- </w:t>
      </w:r>
      <w:r w:rsidRPr="00241AC6">
        <w:rPr>
          <w:rFonts w:ascii="Tahoma" w:hAnsi="Tahoma" w:cs="Tahoma"/>
          <w:i/>
          <w:iCs/>
          <w:sz w:val="23"/>
          <w:szCs w:val="23"/>
        </w:rPr>
        <w:t>ELECCIÓN DE LOS DIPUTADOS QUE INTEGRARÁN LA DIPUTACIÓN PERMANENTE QUE FUNGIRÁ DURANTE EL RECESO DEL CONGRESO DEL ESTADO.</w:t>
      </w:r>
    </w:p>
    <w:p w:rsidR="00241AC6" w:rsidRPr="00241AC6" w:rsidRDefault="00241AC6" w:rsidP="00241AC6">
      <w:pPr>
        <w:pStyle w:val="Textoindependiente"/>
        <w:shd w:val="clear" w:color="auto" w:fill="FFFFFF" w:themeFill="background1"/>
        <w:spacing w:line="360" w:lineRule="auto"/>
        <w:rPr>
          <w:rFonts w:ascii="Tahoma" w:hAnsi="Tahoma" w:cs="Tahoma"/>
          <w:i/>
          <w:iCs/>
          <w:sz w:val="23"/>
          <w:szCs w:val="23"/>
        </w:rPr>
      </w:pPr>
    </w:p>
    <w:p w:rsidR="00241AC6" w:rsidRPr="00241AC6" w:rsidRDefault="00241AC6" w:rsidP="00241AC6">
      <w:pPr>
        <w:pStyle w:val="Textoindependiente"/>
        <w:shd w:val="clear" w:color="auto" w:fill="FFFFFF" w:themeFill="background1"/>
        <w:spacing w:line="360" w:lineRule="auto"/>
        <w:rPr>
          <w:rFonts w:ascii="Tahoma" w:hAnsi="Tahoma"/>
          <w:b/>
          <w:i/>
          <w:sz w:val="23"/>
          <w:szCs w:val="23"/>
        </w:rPr>
      </w:pPr>
      <w:r w:rsidRPr="00241AC6">
        <w:rPr>
          <w:rFonts w:ascii="Tahoma" w:hAnsi="Tahoma" w:cs="Tahoma"/>
          <w:b/>
          <w:bCs/>
          <w:i/>
          <w:iCs/>
          <w:sz w:val="23"/>
          <w:szCs w:val="23"/>
        </w:rPr>
        <w:t>IV.-</w:t>
      </w:r>
      <w:r w:rsidRPr="00241AC6">
        <w:rPr>
          <w:rFonts w:ascii="Tahoma" w:hAnsi="Tahoma" w:cs="Tahoma"/>
          <w:bCs/>
          <w:i/>
          <w:iCs/>
          <w:sz w:val="23"/>
          <w:szCs w:val="23"/>
        </w:rPr>
        <w:t xml:space="preserve"> </w:t>
      </w:r>
      <w:r w:rsidRPr="00241AC6">
        <w:rPr>
          <w:rFonts w:ascii="Tahoma" w:hAnsi="Tahoma" w:cs="Tahoma"/>
          <w:i/>
          <w:iCs/>
          <w:sz w:val="23"/>
          <w:szCs w:val="23"/>
        </w:rPr>
        <w:t>RECESO QUE SERÁ DISPUESTO EN CASO DE SER PROCEDENTE, PARA QUE LA MESA DIRECTIVA ELABORE LA MINUTA DEL ASUNTO APROBADO Y LECTURA DE LA MISMA.</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r w:rsidRPr="00241AC6">
        <w:rPr>
          <w:rFonts w:ascii="Tahoma" w:hAnsi="Tahoma"/>
          <w:b/>
          <w:i/>
          <w:sz w:val="23"/>
          <w:szCs w:val="23"/>
        </w:rPr>
        <w:t xml:space="preserve">V.- </w:t>
      </w:r>
      <w:r w:rsidRPr="00241AC6">
        <w:rPr>
          <w:rFonts w:ascii="Tahoma" w:hAnsi="Tahoma"/>
          <w:i/>
          <w:sz w:val="23"/>
          <w:szCs w:val="23"/>
        </w:rPr>
        <w:t>ASUNTOS EN CARTERA:</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NÚMERO SG/UE/230/934/22 SIGNADO POR EL DOCTOR VALENTÍN MARTÍNEZ GARZA, ENCARGADO DEL DESPACHO DE LA UNIDAD DE ENLACE DE LA SECRETARÍA DE GOBERNACIÓN.</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DEL HONORABLE CONGRESO DEL ESTADO DE SAN LUIS POTOSÍ.</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NÚMERO V3/29681 SUSCRITO POR LA MAESTRA MARÍA DEL ROSARIO PIEDRA IBARRA, PRESIDENTA DE LA COMISIÓN NACIONAL DE LOS DERECHOS HUMANOS.</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SIGNADO POR EL DOCTOR EN DERECHO LUIS FELIPE ESPERÓN VILLANUEVA, MAGISTRADO DEL TRIBUNAL SUPERIOR DE JUSTICIA DEL ESTADO DE YUCATÁN.</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NÚMERO OAESIII/1162/2022 SUSCRITO POR EL LICENCIADO NEMESIO ARTURO IBÁÑEZ AGUIRRE, AUDITOR ESPECIAL DE SEGUIMIENTO, INFORMES E INVESTIGACIÓN DE LA AUDITORÍA SUPERIOR DE LA FEDERACIÓN.</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NÚMERO DTFA/069/2022, CON EL QUE HACE ENTREGA DE LA CUENTA PÚBLICA DEL MUNICIPIO DE VALLADOLID, YUCATÁN, CORRESPONDIENTE AL EJERCICIO DE LOS RECURSOS PÚBLICOS DE 2021, SECTOR GOBIERNO MUNICIPAL.</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OFICIO NÚMERO DTFA/071/2022, CON EL QUE SE REMITE LOS ESTADOS FINANCIEROS CONSOLIDADOS DE LA CUENTA PÚBLICA DEL MUNICIPIO DE VALLADOLID, YUCATÁN Y CORRESPONDIENTES AL EJERCICIO DE LOS RECURSOS PÚBLICOS DE 2021.</w:t>
      </w:r>
    </w:p>
    <w:p w:rsidR="00241AC6" w:rsidRPr="00241AC6" w:rsidRDefault="00241AC6" w:rsidP="00241AC6">
      <w:pPr>
        <w:pStyle w:val="Prrafodelista"/>
        <w:widowControl/>
        <w:numPr>
          <w:ilvl w:val="0"/>
          <w:numId w:val="39"/>
        </w:numPr>
        <w:shd w:val="clear" w:color="auto" w:fill="FFFFFF" w:themeFill="background1"/>
        <w:spacing w:line="360" w:lineRule="auto"/>
        <w:jc w:val="both"/>
        <w:rPr>
          <w:rFonts w:ascii="Tahoma" w:hAnsi="Tahoma"/>
          <w:i/>
          <w:sz w:val="23"/>
          <w:szCs w:val="23"/>
        </w:rPr>
      </w:pPr>
      <w:r w:rsidRPr="00241AC6">
        <w:rPr>
          <w:rFonts w:ascii="Tahoma" w:hAnsi="Tahoma"/>
          <w:i/>
          <w:sz w:val="23"/>
          <w:szCs w:val="23"/>
        </w:rPr>
        <w:t>OFICIO NÚMERO DGOB/01942/2022 SUSCRITO POR EL LICENCIADO MAURICIO VILA DOSAL, GOBERNADOR CONSTITUCIONAL DEL ESTADO DE YUCATÁN, CON EL QUE REMITE LA TERNA PARA DESIGNAR MAGISTRADO DEL TRIBUNAL SUPERIOR DE JUSTICIA DEL ESTADO.</w:t>
      </w:r>
    </w:p>
    <w:p w:rsidR="00241AC6" w:rsidRPr="00241AC6" w:rsidRDefault="00241AC6" w:rsidP="00241AC6">
      <w:pPr>
        <w:pStyle w:val="Prrafodelista"/>
        <w:widowControl/>
        <w:numPr>
          <w:ilvl w:val="0"/>
          <w:numId w:val="39"/>
        </w:numPr>
        <w:shd w:val="clear" w:color="auto" w:fill="FFFFFF" w:themeFill="background1"/>
        <w:spacing w:line="360" w:lineRule="auto"/>
        <w:jc w:val="both"/>
        <w:rPr>
          <w:rFonts w:ascii="Tahoma" w:hAnsi="Tahoma"/>
          <w:i/>
          <w:sz w:val="23"/>
          <w:szCs w:val="23"/>
        </w:rPr>
      </w:pPr>
      <w:r w:rsidRPr="00241AC6">
        <w:rPr>
          <w:rFonts w:ascii="Tahoma" w:hAnsi="Tahoma"/>
          <w:i/>
          <w:sz w:val="23"/>
          <w:szCs w:val="23"/>
        </w:rPr>
        <w:t>OFICIO NÚMERO DGOB/01943/2022 SUSCRITO POR EL LICENCIADO MAURICIO VILA DOSAL, GOBERNADOR CONSTITUCIONAL DEL ESTADO DE YUCATÁN, CON EL QUE REMITE LA TERNA PARA DESIGNAR MAGISTRADO DEL TRIBUNAL SUPERIOR DE JUSTICIA DEL ESTADO.</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INICIATIVA DE DECRETO PARA LA MODIFICACIÓN DE LA LEY DE INGRESOS PARA EL EJERCICIO FISCAL 2022 DEL MUNICIPIO DE PROGRESO, YUCATÁN, SIGNADA POR EL C. JULIÁN ZACARÍAS CURI, PRESIDENTE MUNICIPAL DEL H. AYUNTAMIENTO DE PROGRESO.</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CON PROYECTO DE DECRETO POR EL QUE SE ADICIONAN LOS PÁRRAFOS DÉCIMO TERCERO, DÉCIMO CUARTO, DÉCIMO QUINTO Y DÉCIMO SEXTO DEL ARTÍCULO 2DO. DE LA CONSTITUCIÓN POLÍTICA DEL ESTADO DE YUCATÁN, SUSCRITA POR LOS DIPUTADOS JESÚS EFRÉN PÉREZ BALLOTE Y EL DIPUTADO ALEJANDRO RAFAEL ECHAZARRETA TORRES.</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DE REFORMA A LA LEY PARA LA PROTECCIÓN DE LOS DERECHOS DE LOS ADULTOS MAYORES DEL ESTADO DE YUCATÁN, EN MATERIA DE LA IMPLEMENTACIÓN DE UN SISTEMA PERMANENTE DE APOYO E INTEGRACIÓN SOCIAL PARA LAS PERSONAS MAYORES, SUSCRITA POR LAS DIPUTADAS FABIOLA LOEZA NOVELO, KARLA REYNA FRANCO BLANCO Y EL DIPUTADO GASPAR ARMANDO QUINTAL PARRA.</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CON PROYECTO DE DECRETO POR EL QUE DECLARA A LAS CABALGATAS, PATRIMONIO CULTURAL INTANGIBLE DEL ESTADO DE YUCATÁN, SUSCRITA POR EL DIPUTADO ESTEBAN ABRAHAM MACARI.</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CON PROYECTO DE DECRETO POR EL QUE SE REFORMAN LOS ARTÍCULOS 433, 526, 528 Y 529 TODOS DEL CÓDIGO DE FAMILIA PARA EL ESTADO DE YUCATÁN; Y SE ADICIONA LA FRACCIÓN XXIII BIS, AL APARTADO A DEL ARTÍCULO 41 DE LA LEY DE GOBIERNO DE LOS MUNICIPIOS DEL ESTADO DE YUCATÁN, SIGNADA POR EL DIPUTADO LUIS RENÉ FERNÁNDEZ VIDAL.</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CON PROYECTO DE DECRETO POR EL QUE SE MODIFICAN DIVERSOS ARTÍCULOS DE LA LEY DE LOS DERECHOS DE NIÑAS, NIÑOS Y ADOLESCENTES DEL ESTADO DE YUCATÁN, SUSCRITA POR LAS DIPUTADAS JAZMÍN YANELI VILLANUEVA MOO Y KARLA VANESSA SALAZAR GONZÁLEZ.</w:t>
      </w:r>
    </w:p>
    <w:p w:rsidR="00241AC6" w:rsidRPr="00241AC6" w:rsidRDefault="00241AC6" w:rsidP="00241AC6">
      <w:pPr>
        <w:pStyle w:val="Prrafodelista"/>
        <w:widowControl/>
        <w:numPr>
          <w:ilvl w:val="0"/>
          <w:numId w:val="39"/>
        </w:numPr>
        <w:shd w:val="clear" w:color="auto" w:fill="FFFFFF" w:themeFill="background1"/>
        <w:spacing w:after="160" w:line="360" w:lineRule="auto"/>
        <w:jc w:val="both"/>
        <w:rPr>
          <w:rFonts w:ascii="Tahoma" w:hAnsi="Tahoma"/>
          <w:i/>
          <w:sz w:val="23"/>
          <w:szCs w:val="23"/>
        </w:rPr>
      </w:pPr>
      <w:r w:rsidRPr="00241AC6">
        <w:rPr>
          <w:rFonts w:ascii="Tahoma" w:hAnsi="Tahoma"/>
          <w:i/>
          <w:sz w:val="23"/>
          <w:szCs w:val="23"/>
        </w:rPr>
        <w:t>INICIATIVA DE DECRETO POR EL QUE SE AUTORIZAN 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DICTAMEN DE ACUERDO DE LAS COMISIONES PERMANENTES UNIDAS DE PUNTOS CONSTITUCIONALES Y GOBERNACIÓN Y LA DE JUSTICIA Y SEGURIDAD PÚBLICA, POR EL QUE SE EMITE LA TERNA DE CANDIDATOS PARA OCUPAR EL CARGO DE MAGISTRADO DEL TRIBUNAL SUPERIOR DE JUSTICIA DEL PODER JUDICIAL DEL ESTADO DE YUCATÁN.</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i/>
          <w:sz w:val="23"/>
          <w:szCs w:val="23"/>
        </w:rPr>
        <w:t xml:space="preserve">DESIGNACIÓN DE UN MAGISTRADO </w:t>
      </w:r>
      <w:r w:rsidRPr="00241AC6">
        <w:rPr>
          <w:rFonts w:ascii="Tahoma" w:hAnsi="Tahoma" w:cs="Tahoma"/>
          <w:i/>
          <w:iCs/>
          <w:color w:val="000000"/>
          <w:sz w:val="23"/>
          <w:szCs w:val="23"/>
        </w:rPr>
        <w:t>DEL TRIBUNAL SUPERIOR DE JUSTICIA DEL PODER JUDICIAL DEL ESTADO DE YUCATÁN</w:t>
      </w:r>
      <w:r w:rsidRPr="00241AC6">
        <w:rPr>
          <w:rFonts w:ascii="Tahoma" w:hAnsi="Tahoma"/>
          <w:i/>
          <w:sz w:val="23"/>
          <w:szCs w:val="23"/>
        </w:rPr>
        <w:t>.</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i/>
          <w:sz w:val="23"/>
          <w:szCs w:val="23"/>
        </w:rPr>
        <w:t xml:space="preserve">EN SU CASO, TOMA DEL COMPROMISO CONSTITUCIONAL DEL MAGISTRADO </w:t>
      </w:r>
      <w:r w:rsidRPr="00241AC6">
        <w:rPr>
          <w:rFonts w:ascii="Tahoma" w:hAnsi="Tahoma" w:cs="Tahoma"/>
          <w:i/>
          <w:iCs/>
          <w:color w:val="000000"/>
          <w:sz w:val="23"/>
          <w:szCs w:val="23"/>
        </w:rPr>
        <w:t>DEL TRIBUNAL SUPERIOR DE JUSTICIA DEL PODER JUDICIAL DEL ESTADO DE YUCATÁN</w:t>
      </w:r>
      <w:r w:rsidRPr="00241AC6">
        <w:rPr>
          <w:rFonts w:ascii="Tahoma" w:hAnsi="Tahoma"/>
          <w:i/>
          <w:sz w:val="23"/>
          <w:szCs w:val="23"/>
        </w:rPr>
        <w:t>.</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DICTAMEN DE LA COMISIÓN PERMANENTE DE PUNTOS CONSTITUCIONALES Y GOBERNACIÓN, 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DICTAMEN DE LA COMISIÓN PERMANENTE DE PUNTOS CONSTITUCIONALES Y GOBERNACIÓN, POR EL QUE SE MODIFICA LA LEY DE GOBIERNO DE LOS MUNICIPIOS DEL ESTADO DE YUCATÁN, EN MATERIA DE ASESORES MUNICIPALES.</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DICTAMEN DE LA COMISIÓN PERMANENTE DE PUNTOS CONSTITUCIONALES Y GOBERNACIÓN, POR EL QUE SE MODIFICA LA CONSTITUCIÓN POLÍTICA DEL ESTADO DE YUCATÁN, EN MATERIA DE VIOLENCIA DE GÉNERO Y DEUDORES ALIMENTARIOS.</w:t>
      </w:r>
    </w:p>
    <w:p w:rsidR="00241AC6" w:rsidRPr="00241AC6" w:rsidRDefault="00241AC6" w:rsidP="00241AC6">
      <w:pPr>
        <w:pStyle w:val="Prrafodelista"/>
        <w:widowControl/>
        <w:numPr>
          <w:ilvl w:val="0"/>
          <w:numId w:val="39"/>
        </w:numPr>
        <w:shd w:val="clear" w:color="auto" w:fill="FFFFFF" w:themeFill="background1"/>
        <w:autoSpaceDE w:val="0"/>
        <w:autoSpaceDN w:val="0"/>
        <w:adjustRightInd w:val="0"/>
        <w:spacing w:line="360" w:lineRule="auto"/>
        <w:jc w:val="both"/>
        <w:rPr>
          <w:rFonts w:ascii="Tahoma" w:hAnsi="Tahoma" w:cs="Tahoma"/>
          <w:i/>
          <w:iCs/>
          <w:color w:val="000000"/>
          <w:sz w:val="23"/>
          <w:szCs w:val="23"/>
        </w:rPr>
      </w:pPr>
      <w:r w:rsidRPr="00241AC6">
        <w:rPr>
          <w:rFonts w:ascii="Tahoma" w:hAnsi="Tahoma" w:cs="Tahoma"/>
          <w:i/>
          <w:iCs/>
          <w:color w:val="000000"/>
          <w:sz w:val="23"/>
          <w:szCs w:val="23"/>
        </w:rPr>
        <w:t>DICTAMEN DE LA COMISIÓN PERMANENTE DE PUNTOS CONSTITUCIONALES Y GOBERNACIÓN, POR EL QUE MODIFICA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p>
    <w:p w:rsidR="00241AC6" w:rsidRPr="00241AC6" w:rsidRDefault="00241AC6" w:rsidP="00241AC6">
      <w:pPr>
        <w:shd w:val="clear" w:color="auto" w:fill="FFFFFF" w:themeFill="background1"/>
        <w:autoSpaceDE w:val="0"/>
        <w:autoSpaceDN w:val="0"/>
        <w:adjustRightInd w:val="0"/>
        <w:spacing w:line="360" w:lineRule="auto"/>
        <w:jc w:val="both"/>
        <w:rPr>
          <w:rFonts w:ascii="Tahoma" w:hAnsi="Tahoma" w:cs="Tahoma"/>
          <w:i/>
          <w:iCs/>
          <w:color w:val="000000"/>
          <w:sz w:val="23"/>
          <w:szCs w:val="23"/>
        </w:rPr>
      </w:pPr>
    </w:p>
    <w:p w:rsidR="00241AC6" w:rsidRPr="00241AC6" w:rsidRDefault="00241AC6" w:rsidP="00241AC6">
      <w:pPr>
        <w:pStyle w:val="Prrafodelista"/>
        <w:widowControl/>
        <w:shd w:val="clear" w:color="auto" w:fill="FFFFFF" w:themeFill="background1"/>
        <w:spacing w:line="360" w:lineRule="auto"/>
        <w:ind w:left="0"/>
        <w:jc w:val="both"/>
        <w:rPr>
          <w:rFonts w:ascii="Tahoma" w:hAnsi="Tahoma"/>
          <w:i/>
          <w:sz w:val="23"/>
          <w:szCs w:val="23"/>
        </w:rPr>
      </w:pPr>
      <w:r w:rsidRPr="00241AC6">
        <w:rPr>
          <w:rFonts w:ascii="Tahoma" w:hAnsi="Tahoma"/>
          <w:b/>
          <w:i/>
          <w:sz w:val="23"/>
          <w:szCs w:val="23"/>
        </w:rPr>
        <w:t>VI.-</w:t>
      </w:r>
      <w:r w:rsidRPr="00241AC6">
        <w:rPr>
          <w:rFonts w:ascii="Tahoma" w:hAnsi="Tahoma"/>
          <w:i/>
          <w:sz w:val="23"/>
          <w:szCs w:val="23"/>
        </w:rPr>
        <w:t xml:space="preserve"> ASUNTOS GENERALES.</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r w:rsidRPr="00241AC6">
        <w:rPr>
          <w:rFonts w:ascii="Tahoma" w:hAnsi="Tahoma"/>
          <w:b/>
          <w:i/>
          <w:sz w:val="23"/>
          <w:szCs w:val="23"/>
        </w:rPr>
        <w:t xml:space="preserve">VII.- </w:t>
      </w:r>
      <w:r w:rsidRPr="00241AC6">
        <w:rPr>
          <w:rFonts w:ascii="Tahoma" w:hAnsi="Tahoma"/>
          <w:i/>
          <w:sz w:val="23"/>
          <w:szCs w:val="23"/>
        </w:rPr>
        <w:t>CLAUSURA DEL SEGUNDO PERÍODO ORDINARIO DE SESIONES, CORRESPONDIENTE AL PRIMER AÑO DE EJERCICIO CONSTITUCIONAL DE ESTA SEXAGÉSIMA TERCERA LEGISLATURA DEL ESTADO.</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r w:rsidRPr="00241AC6">
        <w:rPr>
          <w:rFonts w:ascii="Tahoma" w:hAnsi="Tahoma"/>
          <w:b/>
          <w:i/>
          <w:sz w:val="23"/>
          <w:szCs w:val="23"/>
        </w:rPr>
        <w:t>VIII.-</w:t>
      </w:r>
      <w:r w:rsidRPr="00241AC6">
        <w:rPr>
          <w:rFonts w:ascii="Tahoma" w:hAnsi="Tahoma"/>
          <w:i/>
          <w:sz w:val="23"/>
          <w:szCs w:val="23"/>
        </w:rPr>
        <w:t xml:space="preserve"> RECESO QUE SERÁ DISPUESTO PARA QUE ESTA MESA DIRECTIVA, ELABORE LA MINUTA DE DECRETO DE CLAUSURA.</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r w:rsidRPr="00241AC6">
        <w:rPr>
          <w:rFonts w:ascii="Tahoma" w:hAnsi="Tahoma"/>
          <w:b/>
          <w:i/>
          <w:sz w:val="23"/>
          <w:szCs w:val="23"/>
        </w:rPr>
        <w:t>IX.-</w:t>
      </w:r>
      <w:r w:rsidRPr="00241AC6">
        <w:rPr>
          <w:rFonts w:ascii="Tahoma" w:hAnsi="Tahoma"/>
          <w:i/>
          <w:sz w:val="23"/>
          <w:szCs w:val="23"/>
        </w:rPr>
        <w:t xml:space="preserve"> LECTURA DE LA MINUTA DE DECRETO DE CLAUSURA, Y</w:t>
      </w:r>
    </w:p>
    <w:p w:rsidR="00241AC6" w:rsidRPr="00241AC6" w:rsidRDefault="00241AC6" w:rsidP="00241AC6">
      <w:pPr>
        <w:shd w:val="clear" w:color="auto" w:fill="FFFFFF" w:themeFill="background1"/>
        <w:spacing w:line="360" w:lineRule="auto"/>
        <w:jc w:val="both"/>
        <w:rPr>
          <w:rFonts w:ascii="Tahoma" w:hAnsi="Tahoma"/>
          <w:i/>
          <w:sz w:val="23"/>
          <w:szCs w:val="23"/>
        </w:rPr>
      </w:pPr>
    </w:p>
    <w:p w:rsidR="00241AC6" w:rsidRPr="00241AC6" w:rsidRDefault="00241AC6" w:rsidP="00241AC6">
      <w:pPr>
        <w:shd w:val="clear" w:color="auto" w:fill="FFFFFF" w:themeFill="background1"/>
        <w:spacing w:line="360" w:lineRule="auto"/>
        <w:jc w:val="both"/>
        <w:rPr>
          <w:rFonts w:ascii="Tahoma" w:hAnsi="Tahoma"/>
          <w:i/>
          <w:sz w:val="23"/>
          <w:szCs w:val="23"/>
        </w:rPr>
      </w:pPr>
      <w:r w:rsidRPr="00241AC6">
        <w:rPr>
          <w:rFonts w:ascii="Tahoma" w:hAnsi="Tahoma"/>
          <w:b/>
          <w:i/>
          <w:sz w:val="23"/>
          <w:szCs w:val="23"/>
        </w:rPr>
        <w:t xml:space="preserve">X.- </w:t>
      </w:r>
      <w:r w:rsidRPr="00241AC6">
        <w:rPr>
          <w:rFonts w:ascii="Tahoma" w:hAnsi="Tahoma"/>
          <w:i/>
          <w:sz w:val="23"/>
          <w:szCs w:val="23"/>
        </w:rPr>
        <w:t>CLAUSURA DE LA SESIÓN.</w:t>
      </w:r>
    </w:p>
    <w:p w:rsidR="00241AC6" w:rsidRPr="00241AC6" w:rsidRDefault="00241AC6" w:rsidP="00241AC6">
      <w:pPr>
        <w:shd w:val="clear" w:color="auto" w:fill="FFFFFF" w:themeFill="background1"/>
        <w:spacing w:line="360" w:lineRule="auto"/>
        <w:jc w:val="both"/>
        <w:rPr>
          <w:rFonts w:ascii="Tahoma" w:hAnsi="Tahoma" w:cs="Tahoma"/>
          <w:i/>
          <w:sz w:val="22"/>
          <w:szCs w:val="22"/>
        </w:rPr>
      </w:pPr>
    </w:p>
    <w:sectPr w:rsidR="00241AC6" w:rsidRPr="00241AC6" w:rsidSect="00F957E8">
      <w:headerReference w:type="default" r:id="rId7"/>
      <w:footerReference w:type="even" r:id="rId8"/>
      <w:footerReference w:type="default" r:id="rId9"/>
      <w:pgSz w:w="12242" w:h="15842" w:code="1"/>
      <w:pgMar w:top="2410"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241AC6">
      <w:rPr>
        <w:noProof/>
      </w:rPr>
      <w:t>5</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7F776C"/>
    <w:multiLevelType w:val="hybridMultilevel"/>
    <w:tmpl w:val="72AA5EA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15730D7B"/>
    <w:multiLevelType w:val="hybridMultilevel"/>
    <w:tmpl w:val="CC5A47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11">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742541"/>
    <w:multiLevelType w:val="hybridMultilevel"/>
    <w:tmpl w:val="BB0E97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ED73CA"/>
    <w:multiLevelType w:val="hybridMultilevel"/>
    <w:tmpl w:val="ADC60E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9">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1">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BF406CE"/>
    <w:multiLevelType w:val="hybridMultilevel"/>
    <w:tmpl w:val="9DD80C2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8"/>
  </w:num>
  <w:num w:numId="3">
    <w:abstractNumId w:val="11"/>
  </w:num>
  <w:num w:numId="4">
    <w:abstractNumId w:val="33"/>
  </w:num>
  <w:num w:numId="5">
    <w:abstractNumId w:val="30"/>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17"/>
  </w:num>
  <w:num w:numId="11">
    <w:abstractNumId w:val="6"/>
  </w:num>
  <w:num w:numId="12">
    <w:abstractNumId w:val="21"/>
  </w:num>
  <w:num w:numId="13">
    <w:abstractNumId w:val="14"/>
  </w:num>
  <w:num w:numId="14">
    <w:abstractNumId w:val="32"/>
  </w:num>
  <w:num w:numId="15">
    <w:abstractNumId w:val="24"/>
  </w:num>
  <w:num w:numId="16">
    <w:abstractNumId w:val="23"/>
  </w:num>
  <w:num w:numId="17">
    <w:abstractNumId w:val="18"/>
  </w:num>
  <w:num w:numId="18">
    <w:abstractNumId w:val="31"/>
  </w:num>
  <w:num w:numId="19">
    <w:abstractNumId w:val="16"/>
  </w:num>
  <w:num w:numId="20">
    <w:abstractNumId w:val="27"/>
  </w:num>
  <w:num w:numId="21">
    <w:abstractNumId w:val="0"/>
  </w:num>
  <w:num w:numId="22">
    <w:abstractNumId w:val="25"/>
  </w:num>
  <w:num w:numId="23">
    <w:abstractNumId w:val="5"/>
  </w:num>
  <w:num w:numId="24">
    <w:abstractNumId w:val="4"/>
  </w:num>
  <w:num w:numId="25">
    <w:abstractNumId w:val="26"/>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num>
  <w:num w:numId="29">
    <w:abstractNumId w:val="2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5"/>
  </w:num>
  <w:num w:numId="33">
    <w:abstractNumId w:val="9"/>
  </w:num>
  <w:num w:numId="34">
    <w:abstractNumId w:val="22"/>
  </w:num>
  <w:num w:numId="35">
    <w:abstractNumId w:val="1"/>
  </w:num>
  <w:num w:numId="36">
    <w:abstractNumId w:val="19"/>
  </w:num>
  <w:num w:numId="37">
    <w:abstractNumId w:val="7"/>
  </w:num>
  <w:num w:numId="38">
    <w:abstractNumId w:val="3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088D"/>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17DA"/>
    <w:rsid w:val="000D2D6D"/>
    <w:rsid w:val="000D3776"/>
    <w:rsid w:val="000F21A9"/>
    <w:rsid w:val="000F7724"/>
    <w:rsid w:val="0010190F"/>
    <w:rsid w:val="00102043"/>
    <w:rsid w:val="001071CE"/>
    <w:rsid w:val="001074E8"/>
    <w:rsid w:val="0012064E"/>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41AC6"/>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8715E"/>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155E9"/>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0D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2763"/>
    <w:rsid w:val="00595E06"/>
    <w:rsid w:val="00597310"/>
    <w:rsid w:val="005A2C13"/>
    <w:rsid w:val="005A6359"/>
    <w:rsid w:val="005A78A8"/>
    <w:rsid w:val="005B1AB8"/>
    <w:rsid w:val="005B4BFB"/>
    <w:rsid w:val="005B4FFD"/>
    <w:rsid w:val="005B62B8"/>
    <w:rsid w:val="005B64FA"/>
    <w:rsid w:val="005C04AE"/>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280C"/>
    <w:rsid w:val="0077367D"/>
    <w:rsid w:val="00775C6A"/>
    <w:rsid w:val="00775E32"/>
    <w:rsid w:val="00777A95"/>
    <w:rsid w:val="00785599"/>
    <w:rsid w:val="00786F4C"/>
    <w:rsid w:val="00787F03"/>
    <w:rsid w:val="007A2D22"/>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2B9"/>
    <w:rsid w:val="00837BEA"/>
    <w:rsid w:val="00842A48"/>
    <w:rsid w:val="008449D4"/>
    <w:rsid w:val="00845C72"/>
    <w:rsid w:val="008573B5"/>
    <w:rsid w:val="00862C6E"/>
    <w:rsid w:val="008739EC"/>
    <w:rsid w:val="008749A9"/>
    <w:rsid w:val="00876A28"/>
    <w:rsid w:val="00891D22"/>
    <w:rsid w:val="008936C7"/>
    <w:rsid w:val="0089425D"/>
    <w:rsid w:val="008A1963"/>
    <w:rsid w:val="008B1525"/>
    <w:rsid w:val="008B4990"/>
    <w:rsid w:val="008B5B84"/>
    <w:rsid w:val="008B5CAD"/>
    <w:rsid w:val="008B733D"/>
    <w:rsid w:val="008D3806"/>
    <w:rsid w:val="008E4368"/>
    <w:rsid w:val="008E7E9A"/>
    <w:rsid w:val="008F10CA"/>
    <w:rsid w:val="00905223"/>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811C6"/>
    <w:rsid w:val="00996EDA"/>
    <w:rsid w:val="009A0173"/>
    <w:rsid w:val="009A6007"/>
    <w:rsid w:val="009C6E44"/>
    <w:rsid w:val="009C6F3F"/>
    <w:rsid w:val="009E0F7D"/>
    <w:rsid w:val="009F5C87"/>
    <w:rsid w:val="00A14B37"/>
    <w:rsid w:val="00A31116"/>
    <w:rsid w:val="00A3420A"/>
    <w:rsid w:val="00A3508C"/>
    <w:rsid w:val="00A56A7E"/>
    <w:rsid w:val="00A575D6"/>
    <w:rsid w:val="00A5798B"/>
    <w:rsid w:val="00A616B3"/>
    <w:rsid w:val="00A7231F"/>
    <w:rsid w:val="00A7375D"/>
    <w:rsid w:val="00A77396"/>
    <w:rsid w:val="00A82968"/>
    <w:rsid w:val="00A84A74"/>
    <w:rsid w:val="00A869E6"/>
    <w:rsid w:val="00A9511B"/>
    <w:rsid w:val="00AB4C19"/>
    <w:rsid w:val="00AB5C55"/>
    <w:rsid w:val="00AB66D7"/>
    <w:rsid w:val="00AC6368"/>
    <w:rsid w:val="00AD6341"/>
    <w:rsid w:val="00AD6EC2"/>
    <w:rsid w:val="00AE2DE0"/>
    <w:rsid w:val="00AE637C"/>
    <w:rsid w:val="00AE7E68"/>
    <w:rsid w:val="00AF3265"/>
    <w:rsid w:val="00B00369"/>
    <w:rsid w:val="00B1235B"/>
    <w:rsid w:val="00B150CB"/>
    <w:rsid w:val="00B36A18"/>
    <w:rsid w:val="00B41578"/>
    <w:rsid w:val="00B439E5"/>
    <w:rsid w:val="00B44DC3"/>
    <w:rsid w:val="00B50311"/>
    <w:rsid w:val="00B523D0"/>
    <w:rsid w:val="00B5648E"/>
    <w:rsid w:val="00B620A4"/>
    <w:rsid w:val="00B66304"/>
    <w:rsid w:val="00B7439F"/>
    <w:rsid w:val="00B770AF"/>
    <w:rsid w:val="00B80060"/>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3967"/>
    <w:rsid w:val="00C04B1C"/>
    <w:rsid w:val="00C056D3"/>
    <w:rsid w:val="00C1272D"/>
    <w:rsid w:val="00C16DCB"/>
    <w:rsid w:val="00C20C25"/>
    <w:rsid w:val="00C21451"/>
    <w:rsid w:val="00C23254"/>
    <w:rsid w:val="00C24FFF"/>
    <w:rsid w:val="00C30073"/>
    <w:rsid w:val="00C40853"/>
    <w:rsid w:val="00C4189A"/>
    <w:rsid w:val="00C500A3"/>
    <w:rsid w:val="00C57FAB"/>
    <w:rsid w:val="00C66270"/>
    <w:rsid w:val="00C66773"/>
    <w:rsid w:val="00C97995"/>
    <w:rsid w:val="00CA7629"/>
    <w:rsid w:val="00CB31AC"/>
    <w:rsid w:val="00CB594A"/>
    <w:rsid w:val="00CC0BBB"/>
    <w:rsid w:val="00CC103A"/>
    <w:rsid w:val="00CC71D9"/>
    <w:rsid w:val="00CE21A0"/>
    <w:rsid w:val="00CE548F"/>
    <w:rsid w:val="00CF3C69"/>
    <w:rsid w:val="00D01DC3"/>
    <w:rsid w:val="00D05C3F"/>
    <w:rsid w:val="00D10D84"/>
    <w:rsid w:val="00D10FDB"/>
    <w:rsid w:val="00D16B94"/>
    <w:rsid w:val="00D25AEC"/>
    <w:rsid w:val="00D308C0"/>
    <w:rsid w:val="00D31DB1"/>
    <w:rsid w:val="00D43B4F"/>
    <w:rsid w:val="00D5349F"/>
    <w:rsid w:val="00D54A22"/>
    <w:rsid w:val="00D55E46"/>
    <w:rsid w:val="00D67C9B"/>
    <w:rsid w:val="00D71B30"/>
    <w:rsid w:val="00D75E5F"/>
    <w:rsid w:val="00D809BB"/>
    <w:rsid w:val="00D80D7B"/>
    <w:rsid w:val="00D86BD8"/>
    <w:rsid w:val="00D871BD"/>
    <w:rsid w:val="00D96151"/>
    <w:rsid w:val="00D965E0"/>
    <w:rsid w:val="00D96DFE"/>
    <w:rsid w:val="00DA6C4A"/>
    <w:rsid w:val="00DA72E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1369"/>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072C"/>
    <w:rsid w:val="00F67F07"/>
    <w:rsid w:val="00F718EF"/>
    <w:rsid w:val="00F7360D"/>
    <w:rsid w:val="00F92EA2"/>
    <w:rsid w:val="00F9469C"/>
    <w:rsid w:val="00F94C6A"/>
    <w:rsid w:val="00F95423"/>
    <w:rsid w:val="00F957E8"/>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1132</Words>
  <Characters>5900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9</cp:revision>
  <cp:lastPrinted>2022-05-17T14:51:00Z</cp:lastPrinted>
  <dcterms:created xsi:type="dcterms:W3CDTF">2022-05-17T14:48:00Z</dcterms:created>
  <dcterms:modified xsi:type="dcterms:W3CDTF">2022-05-30T15:53:00Z</dcterms:modified>
</cp:coreProperties>
</file>